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A11" w:rsidRDefault="00CF5A11" w:rsidP="00CF5A11">
      <w:pPr>
        <w:pStyle w:val="Default"/>
      </w:pPr>
    </w:p>
    <w:p w:rsidR="00CF5A11" w:rsidRPr="00CF5A11" w:rsidRDefault="00CF5A11" w:rsidP="00CF5A11">
      <w:pPr>
        <w:pStyle w:val="Default"/>
        <w:rPr>
          <w:color w:val="FF0000"/>
          <w:sz w:val="23"/>
          <w:szCs w:val="23"/>
        </w:rPr>
      </w:pPr>
      <w:r w:rsidRPr="00CF5A11">
        <w:rPr>
          <w:b/>
          <w:bCs/>
          <w:color w:val="FF0000"/>
          <w:sz w:val="23"/>
          <w:szCs w:val="23"/>
        </w:rPr>
        <w:t xml:space="preserve">A. Projekty nezakládající veřejnou podporu </w:t>
      </w:r>
    </w:p>
    <w:p w:rsidR="00CF5A11" w:rsidRDefault="00CF5A11" w:rsidP="00CF5A11">
      <w:pPr>
        <w:pStyle w:val="Default"/>
        <w:rPr>
          <w:sz w:val="23"/>
          <w:szCs w:val="23"/>
        </w:rPr>
      </w:pPr>
      <w:r>
        <w:rPr>
          <w:sz w:val="23"/>
          <w:szCs w:val="23"/>
        </w:rPr>
        <w:t xml:space="preserve">Projekty nesmí zakládat veřejnou podporu dle článku 107 Smlouvy o fungování EU. Za podporu neslučitelnou se společným trhem je považována podpora naplňující následující znaky: </w:t>
      </w:r>
    </w:p>
    <w:p w:rsidR="00CF5A11" w:rsidRDefault="00CF5A11" w:rsidP="00CF5A11">
      <w:pPr>
        <w:pStyle w:val="Default"/>
        <w:spacing w:after="147"/>
        <w:rPr>
          <w:sz w:val="23"/>
          <w:szCs w:val="23"/>
        </w:rPr>
      </w:pPr>
      <w:r>
        <w:rPr>
          <w:sz w:val="23"/>
          <w:szCs w:val="23"/>
        </w:rPr>
        <w:t xml:space="preserve">1) </w:t>
      </w:r>
      <w:r>
        <w:rPr>
          <w:b/>
          <w:bCs/>
          <w:sz w:val="23"/>
          <w:szCs w:val="23"/>
        </w:rPr>
        <w:t xml:space="preserve">podpora je poskytnutá z veřejných prostředků </w:t>
      </w:r>
      <w:r>
        <w:rPr>
          <w:sz w:val="23"/>
          <w:szCs w:val="23"/>
        </w:rPr>
        <w:t xml:space="preserve">– do těchto prostředků spadají i prostředky evropských fondů, proto při poskytování podpory z tohoto programu je tento bod splněn vždy. </w:t>
      </w:r>
    </w:p>
    <w:p w:rsidR="00CF5A11" w:rsidRDefault="00CF5A11" w:rsidP="00CF5A11">
      <w:pPr>
        <w:pStyle w:val="Default"/>
        <w:rPr>
          <w:sz w:val="23"/>
          <w:szCs w:val="23"/>
        </w:rPr>
      </w:pPr>
      <w:r>
        <w:rPr>
          <w:sz w:val="23"/>
          <w:szCs w:val="23"/>
        </w:rPr>
        <w:t xml:space="preserve">2) </w:t>
      </w:r>
      <w:r>
        <w:rPr>
          <w:b/>
          <w:bCs/>
          <w:sz w:val="23"/>
          <w:szCs w:val="23"/>
        </w:rPr>
        <w:t xml:space="preserve">udělení podpory narušuje nebo hrozí narušením hospodářské </w:t>
      </w:r>
      <w:proofErr w:type="spellStart"/>
      <w:r>
        <w:rPr>
          <w:b/>
          <w:bCs/>
          <w:sz w:val="23"/>
          <w:szCs w:val="23"/>
        </w:rPr>
        <w:t>soutěţe</w:t>
      </w:r>
      <w:proofErr w:type="spellEnd"/>
      <w:r>
        <w:rPr>
          <w:b/>
          <w:bCs/>
          <w:sz w:val="23"/>
          <w:szCs w:val="23"/>
        </w:rPr>
        <w:t xml:space="preserve"> </w:t>
      </w:r>
      <w:r>
        <w:rPr>
          <w:sz w:val="23"/>
          <w:szCs w:val="23"/>
        </w:rPr>
        <w:t xml:space="preserve">– pokud podpora zvýhodňuje nebo potenciálně zvýhodní jakoukoliv ekonomickou činnost, tedy nabídku zboží nebo služeb na trhu, pak je naplněn i tento bod. </w:t>
      </w:r>
    </w:p>
    <w:p w:rsidR="00CF5A11" w:rsidRDefault="00CF5A11" w:rsidP="00CF5A11">
      <w:pPr>
        <w:pStyle w:val="Default"/>
        <w:rPr>
          <w:sz w:val="23"/>
          <w:szCs w:val="23"/>
        </w:rPr>
      </w:pPr>
    </w:p>
    <w:p w:rsidR="00CF5A11" w:rsidRDefault="00CF5A11" w:rsidP="00CF5A11">
      <w:pPr>
        <w:pStyle w:val="Default"/>
        <w:rPr>
          <w:sz w:val="23"/>
          <w:szCs w:val="23"/>
        </w:rPr>
      </w:pPr>
      <w:r>
        <w:rPr>
          <w:sz w:val="23"/>
          <w:szCs w:val="23"/>
        </w:rPr>
        <w:t xml:space="preserve">3) </w:t>
      </w:r>
      <w:r>
        <w:rPr>
          <w:b/>
          <w:bCs/>
          <w:sz w:val="23"/>
          <w:szCs w:val="23"/>
        </w:rPr>
        <w:t xml:space="preserve">podpora je selektivní, zvýhodňuje určité podniky nebo odvětví výroby </w:t>
      </w:r>
      <w:r>
        <w:rPr>
          <w:sz w:val="23"/>
          <w:szCs w:val="23"/>
        </w:rPr>
        <w:t xml:space="preserve">– pokud podpora zvýhodňuje konkrétní podnik nebo skupinu podniků a nejedná se o obecné opatření přinášející výhodu všem. </w:t>
      </w:r>
    </w:p>
    <w:p w:rsidR="00CF5A11" w:rsidRDefault="00CF5A11" w:rsidP="00CF5A11">
      <w:pPr>
        <w:pStyle w:val="Default"/>
        <w:rPr>
          <w:sz w:val="23"/>
          <w:szCs w:val="23"/>
        </w:rPr>
      </w:pPr>
      <w:r>
        <w:rPr>
          <w:sz w:val="23"/>
          <w:szCs w:val="23"/>
        </w:rPr>
        <w:t xml:space="preserve">4) </w:t>
      </w:r>
      <w:r>
        <w:rPr>
          <w:b/>
          <w:bCs/>
          <w:sz w:val="23"/>
          <w:szCs w:val="23"/>
        </w:rPr>
        <w:t xml:space="preserve">podpora ovlivní obchod mezi členskými státy </w:t>
      </w:r>
      <w:r>
        <w:rPr>
          <w:sz w:val="23"/>
          <w:szCs w:val="23"/>
        </w:rPr>
        <w:t xml:space="preserve">– pokud se jedná o podporu ekonomické činnosti, vždy existuje možnost, že bude ovlivněn podnikatel z jiného členského státu. </w:t>
      </w:r>
    </w:p>
    <w:p w:rsidR="00CF5A11" w:rsidRDefault="00CF5A11" w:rsidP="00CF5A11">
      <w:pPr>
        <w:pStyle w:val="Default"/>
        <w:rPr>
          <w:sz w:val="23"/>
          <w:szCs w:val="23"/>
        </w:rPr>
      </w:pPr>
      <w:r>
        <w:rPr>
          <w:sz w:val="23"/>
          <w:szCs w:val="23"/>
        </w:rPr>
        <w:t xml:space="preserve">Pokud není alespoň jeden z výše uvedených znaků naplněn, nejedná se o veřejnou podporu. </w:t>
      </w:r>
    </w:p>
    <w:p w:rsidR="00CF5A11" w:rsidRDefault="00CF5A11" w:rsidP="00CF5A11">
      <w:pPr>
        <w:pStyle w:val="Default"/>
        <w:rPr>
          <w:sz w:val="23"/>
          <w:szCs w:val="23"/>
        </w:rPr>
      </w:pPr>
      <w:r>
        <w:rPr>
          <w:sz w:val="23"/>
          <w:szCs w:val="23"/>
        </w:rPr>
        <w:t xml:space="preserve">Za „podnik“ je považována jakákoliv entita, která vyvíjí ekonomickou aktivitu ve smyslu definovaném níže bez ohledu na právní formu či neziskový charakter daného subjektu. Pod pojem „ekonomická aktivita“ lze zahrnout jakoukoliv činnost spočívající v nabízení zboží a/nebo služeb na trhu a to bez ohledu na právní formu, vlastnickou strukturu, způsob financováni a neziskový charakter daného projektu. </w:t>
      </w:r>
    </w:p>
    <w:p w:rsidR="00CF5A11" w:rsidRDefault="00CF5A11" w:rsidP="00CF5A11">
      <w:pPr>
        <w:pStyle w:val="Default"/>
        <w:rPr>
          <w:sz w:val="23"/>
          <w:szCs w:val="23"/>
        </w:rPr>
      </w:pPr>
      <w:r>
        <w:rPr>
          <w:sz w:val="23"/>
          <w:szCs w:val="23"/>
        </w:rPr>
        <w:t xml:space="preserve">Příklady projektů nezakládajících veřejnou podporu: </w:t>
      </w:r>
    </w:p>
    <w:p w:rsidR="00CF5A11" w:rsidRDefault="00CF5A11" w:rsidP="00CF5A11">
      <w:pPr>
        <w:pStyle w:val="Default"/>
        <w:spacing w:after="27"/>
        <w:rPr>
          <w:sz w:val="23"/>
          <w:szCs w:val="23"/>
        </w:rPr>
      </w:pPr>
      <w:r>
        <w:rPr>
          <w:sz w:val="23"/>
          <w:szCs w:val="23"/>
        </w:rPr>
        <w:t xml:space="preserve">- </w:t>
      </w:r>
      <w:r>
        <w:rPr>
          <w:b/>
          <w:bCs/>
          <w:sz w:val="23"/>
          <w:szCs w:val="23"/>
        </w:rPr>
        <w:t xml:space="preserve">Budování obecné infrastruktury </w:t>
      </w:r>
      <w:r>
        <w:rPr>
          <w:sz w:val="23"/>
          <w:szCs w:val="23"/>
        </w:rPr>
        <w:t xml:space="preserve">– silnice, chodníky, veřejná prostranství, zeleň. </w:t>
      </w:r>
    </w:p>
    <w:p w:rsidR="00CF5A11" w:rsidRDefault="00CF5A11" w:rsidP="00CF5A11">
      <w:pPr>
        <w:pStyle w:val="Default"/>
        <w:spacing w:after="27"/>
        <w:rPr>
          <w:sz w:val="23"/>
          <w:szCs w:val="23"/>
        </w:rPr>
      </w:pPr>
      <w:r>
        <w:rPr>
          <w:sz w:val="23"/>
          <w:szCs w:val="23"/>
        </w:rPr>
        <w:t xml:space="preserve">- Budování a rekonstrukce </w:t>
      </w:r>
      <w:r>
        <w:rPr>
          <w:b/>
          <w:bCs/>
          <w:sz w:val="23"/>
          <w:szCs w:val="23"/>
        </w:rPr>
        <w:t>vodovodů a kanalizací pro veřejnou potřebu</w:t>
      </w:r>
      <w:r>
        <w:rPr>
          <w:sz w:val="23"/>
          <w:szCs w:val="23"/>
        </w:rPr>
        <w:t xml:space="preserve">, odpadních vod vodních zdrojů - uvedené typy projektů jsou zaměřeny na zkvalitnění infrastruktury uzavřených, které nepodléhají volné konkurenci, proto je výrazným způsobem omezen vliv na hospodářskou soutěž, která je zajištěna transparentní výběrem provozovatele těchto sítí. Přináší-li zkvalitnění podpořené infrastruktury výhodu pronajímateli (snížené náklady na údržbu, lidské zdroje apod.), je nezbytné upravit smlouvu o pronájmu/provozu podpořené infrastruktury tak, by nebyla výhoda z poskytnuté podpory přenesena na provozovatele nebo vyhlásit nové výběrové řízení na provozovatele. Při splnění uvedených podmínek by tyto projekty neměly zakládat veřejnou podporu. </w:t>
      </w:r>
    </w:p>
    <w:p w:rsidR="00CF5A11" w:rsidRDefault="00CF5A11" w:rsidP="00CF5A11">
      <w:pPr>
        <w:pStyle w:val="Default"/>
        <w:spacing w:after="27"/>
        <w:rPr>
          <w:sz w:val="23"/>
          <w:szCs w:val="23"/>
        </w:rPr>
      </w:pPr>
      <w:r>
        <w:rPr>
          <w:sz w:val="20"/>
          <w:szCs w:val="20"/>
        </w:rPr>
        <w:t xml:space="preserve">- </w:t>
      </w:r>
      <w:r>
        <w:rPr>
          <w:sz w:val="23"/>
          <w:szCs w:val="23"/>
        </w:rPr>
        <w:t xml:space="preserve">Projekty v oblastech </w:t>
      </w:r>
      <w:r>
        <w:rPr>
          <w:b/>
          <w:bCs/>
          <w:sz w:val="23"/>
          <w:szCs w:val="23"/>
        </w:rPr>
        <w:t>základního vzdělávacího, zdravotnického či sociálního systému</w:t>
      </w:r>
      <w:r>
        <w:rPr>
          <w:sz w:val="23"/>
          <w:szCs w:val="23"/>
        </w:rPr>
        <w:t xml:space="preserve">, pokud neovlivňují ekonomické činnosti jiných subjektů. V případě pochybností je vhodné provést transparentní výběrové řízení na provozovatele služby nebo zařadit celý projekt do režimu „de </w:t>
      </w:r>
      <w:proofErr w:type="spellStart"/>
      <w:r>
        <w:rPr>
          <w:sz w:val="23"/>
          <w:szCs w:val="23"/>
        </w:rPr>
        <w:t>minimis</w:t>
      </w:r>
      <w:proofErr w:type="spellEnd"/>
      <w:r>
        <w:rPr>
          <w:sz w:val="23"/>
          <w:szCs w:val="23"/>
        </w:rPr>
        <w:t xml:space="preserve">“/blokové výjimky. </w:t>
      </w:r>
    </w:p>
    <w:p w:rsidR="00CF5A11" w:rsidRPr="00CF5A11" w:rsidRDefault="00CF5A11" w:rsidP="00CF5A11">
      <w:pPr>
        <w:pStyle w:val="Default"/>
        <w:rPr>
          <w:sz w:val="23"/>
          <w:szCs w:val="23"/>
        </w:rPr>
      </w:pPr>
      <w:r>
        <w:rPr>
          <w:sz w:val="23"/>
          <w:szCs w:val="23"/>
        </w:rPr>
        <w:t xml:space="preserve">- </w:t>
      </w:r>
      <w:r>
        <w:rPr>
          <w:b/>
          <w:bCs/>
          <w:sz w:val="23"/>
          <w:szCs w:val="23"/>
        </w:rPr>
        <w:t xml:space="preserve">Sportoviště a infrastruktura v oblasti kultury </w:t>
      </w:r>
      <w:r>
        <w:rPr>
          <w:sz w:val="23"/>
          <w:szCs w:val="23"/>
        </w:rPr>
        <w:t xml:space="preserve">je postavena mimo oblast veřejné podpory, pokud součástí není provozování „ekonomických aktivit“, bez dotace by nebylo možné uvedený projekt realizovat a je zaměřena pouze na místní obyvatele, kteří v současné době mají omezenou nebo nemají žádnou možnost využívat podporovaných aktivit. </w:t>
      </w:r>
    </w:p>
    <w:p w:rsidR="00CF5A11" w:rsidRDefault="00CF5A11" w:rsidP="00CF5A11">
      <w:pPr>
        <w:pStyle w:val="Default"/>
        <w:rPr>
          <w:sz w:val="23"/>
          <w:szCs w:val="23"/>
        </w:rPr>
      </w:pPr>
      <w:r>
        <w:rPr>
          <w:sz w:val="23"/>
          <w:szCs w:val="23"/>
        </w:rPr>
        <w:t xml:space="preserve">- stavební obnova (rekonstrukce, modernizace, statické zabezpečení), nová výstavba budov, ploch </w:t>
      </w:r>
      <w:r>
        <w:rPr>
          <w:b/>
          <w:bCs/>
          <w:sz w:val="23"/>
          <w:szCs w:val="23"/>
        </w:rPr>
        <w:t xml:space="preserve">občanské vybavenosti pro veřejnou správu a budov hasičských zbrojnic </w:t>
      </w:r>
      <w:r>
        <w:rPr>
          <w:sz w:val="23"/>
          <w:szCs w:val="23"/>
        </w:rPr>
        <w:t xml:space="preserve">včetně rozvodů, vytápění a sociálního zařízení </w:t>
      </w:r>
    </w:p>
    <w:p w:rsidR="00CF5A11" w:rsidRDefault="00CF5A11" w:rsidP="00CF5A11">
      <w:pPr>
        <w:pStyle w:val="Default"/>
        <w:rPr>
          <w:sz w:val="23"/>
          <w:szCs w:val="23"/>
        </w:rPr>
      </w:pPr>
    </w:p>
    <w:p w:rsidR="00CF5A11" w:rsidRPr="00CF5A11" w:rsidRDefault="00CF5A11" w:rsidP="00CF5A11">
      <w:pPr>
        <w:pStyle w:val="Default"/>
        <w:rPr>
          <w:color w:val="FF0000"/>
          <w:sz w:val="23"/>
          <w:szCs w:val="23"/>
        </w:rPr>
      </w:pPr>
      <w:r w:rsidRPr="00CF5A11">
        <w:rPr>
          <w:b/>
          <w:bCs/>
          <w:color w:val="FF0000"/>
          <w:sz w:val="23"/>
          <w:szCs w:val="23"/>
        </w:rPr>
        <w:t xml:space="preserve">B. Projekty podpořené v </w:t>
      </w:r>
      <w:proofErr w:type="spellStart"/>
      <w:r w:rsidRPr="00CF5A11">
        <w:rPr>
          <w:b/>
          <w:bCs/>
          <w:color w:val="FF0000"/>
          <w:sz w:val="23"/>
          <w:szCs w:val="23"/>
        </w:rPr>
        <w:t>reţimu</w:t>
      </w:r>
      <w:proofErr w:type="spellEnd"/>
      <w:r w:rsidRPr="00CF5A11">
        <w:rPr>
          <w:b/>
          <w:bCs/>
          <w:color w:val="FF0000"/>
          <w:sz w:val="23"/>
          <w:szCs w:val="23"/>
        </w:rPr>
        <w:t xml:space="preserve"> „de </w:t>
      </w:r>
      <w:proofErr w:type="spellStart"/>
      <w:r w:rsidRPr="00CF5A11">
        <w:rPr>
          <w:b/>
          <w:bCs/>
          <w:color w:val="FF0000"/>
          <w:sz w:val="23"/>
          <w:szCs w:val="23"/>
        </w:rPr>
        <w:t>minimis</w:t>
      </w:r>
      <w:proofErr w:type="spellEnd"/>
      <w:r w:rsidRPr="00CF5A11">
        <w:rPr>
          <w:b/>
          <w:bCs/>
          <w:color w:val="FF0000"/>
          <w:sz w:val="23"/>
          <w:szCs w:val="23"/>
        </w:rPr>
        <w:t xml:space="preserve">“ </w:t>
      </w:r>
    </w:p>
    <w:p w:rsidR="00CF5A11" w:rsidRDefault="00CF5A11" w:rsidP="00CF5A11">
      <w:pPr>
        <w:pStyle w:val="Default"/>
        <w:rPr>
          <w:sz w:val="16"/>
          <w:szCs w:val="16"/>
        </w:rPr>
      </w:pPr>
      <w:r>
        <w:rPr>
          <w:sz w:val="23"/>
          <w:szCs w:val="23"/>
        </w:rPr>
        <w:t xml:space="preserve">Projekty jsou podporovány v souladu s nařízením Komise 1998/2006 ze dne 15. prosince 2006 o použití článků 87 a 88 Smlouvy na podporu „de </w:t>
      </w:r>
      <w:proofErr w:type="spellStart"/>
      <w:r>
        <w:rPr>
          <w:sz w:val="23"/>
          <w:szCs w:val="23"/>
        </w:rPr>
        <w:t>minimis</w:t>
      </w:r>
      <w:proofErr w:type="spellEnd"/>
      <w:r>
        <w:rPr>
          <w:sz w:val="23"/>
          <w:szCs w:val="23"/>
        </w:rPr>
        <w:t>“</w:t>
      </w:r>
      <w:r>
        <w:rPr>
          <w:sz w:val="16"/>
          <w:szCs w:val="16"/>
        </w:rPr>
        <w:t>1</w:t>
      </w:r>
      <w:r>
        <w:rPr>
          <w:sz w:val="23"/>
          <w:szCs w:val="23"/>
        </w:rPr>
        <w:t xml:space="preserve">, tzn., že celková výše podpory „de </w:t>
      </w:r>
      <w:proofErr w:type="spellStart"/>
      <w:r>
        <w:rPr>
          <w:sz w:val="23"/>
          <w:szCs w:val="23"/>
        </w:rPr>
        <w:t>minimis</w:t>
      </w:r>
      <w:proofErr w:type="spellEnd"/>
      <w:r>
        <w:rPr>
          <w:sz w:val="23"/>
          <w:szCs w:val="23"/>
        </w:rPr>
        <w:t xml:space="preserve">“ poskytnutá jednomu subjektu nesmí v kterémkoli tříletém období přesáhnout částku </w:t>
      </w:r>
      <w:r>
        <w:rPr>
          <w:b/>
          <w:bCs/>
          <w:sz w:val="23"/>
          <w:szCs w:val="23"/>
        </w:rPr>
        <w:t>200 000 EUR</w:t>
      </w:r>
      <w:r>
        <w:rPr>
          <w:sz w:val="23"/>
          <w:szCs w:val="23"/>
        </w:rPr>
        <w:t xml:space="preserve">. Celková částka podpory „de </w:t>
      </w:r>
      <w:proofErr w:type="spellStart"/>
      <w:r>
        <w:rPr>
          <w:sz w:val="23"/>
          <w:szCs w:val="23"/>
        </w:rPr>
        <w:t>minimis</w:t>
      </w:r>
      <w:proofErr w:type="spellEnd"/>
      <w:r>
        <w:rPr>
          <w:sz w:val="23"/>
          <w:szCs w:val="23"/>
        </w:rPr>
        <w:t xml:space="preserve">“ udělená každému jednotlivému podniku činnému v odvětví silniční dopravy nepřesáhne </w:t>
      </w:r>
      <w:r>
        <w:rPr>
          <w:b/>
          <w:bCs/>
          <w:sz w:val="23"/>
          <w:szCs w:val="23"/>
        </w:rPr>
        <w:t xml:space="preserve">100 000 EUR </w:t>
      </w:r>
      <w:r>
        <w:rPr>
          <w:sz w:val="23"/>
          <w:szCs w:val="23"/>
        </w:rPr>
        <w:t xml:space="preserve">v kterémkoliv období tří fiskálních let (tento limit platí bez ohledu na formu podpory nebo její sledovaný </w:t>
      </w:r>
      <w:proofErr w:type="gramStart"/>
      <w:r>
        <w:rPr>
          <w:sz w:val="23"/>
          <w:szCs w:val="23"/>
        </w:rPr>
        <w:t>cíl).</w:t>
      </w:r>
      <w:r>
        <w:rPr>
          <w:sz w:val="16"/>
          <w:szCs w:val="16"/>
        </w:rPr>
        <w:t>2</w:t>
      </w:r>
      <w:proofErr w:type="gramEnd"/>
      <w:r>
        <w:rPr>
          <w:sz w:val="16"/>
          <w:szCs w:val="16"/>
        </w:rPr>
        <w:t xml:space="preserve"> </w:t>
      </w:r>
    </w:p>
    <w:p w:rsidR="00CF5A11" w:rsidRDefault="00CF5A11" w:rsidP="00CF5A11">
      <w:pPr>
        <w:pStyle w:val="Default"/>
        <w:spacing w:after="27"/>
        <w:rPr>
          <w:sz w:val="23"/>
          <w:szCs w:val="23"/>
        </w:rPr>
      </w:pPr>
      <w:r>
        <w:rPr>
          <w:sz w:val="23"/>
          <w:szCs w:val="23"/>
        </w:rPr>
        <w:t xml:space="preserve">- Režim „de </w:t>
      </w:r>
      <w:proofErr w:type="spellStart"/>
      <w:r>
        <w:rPr>
          <w:sz w:val="23"/>
          <w:szCs w:val="23"/>
        </w:rPr>
        <w:t>minimis</w:t>
      </w:r>
      <w:proofErr w:type="spellEnd"/>
      <w:r>
        <w:rPr>
          <w:sz w:val="23"/>
          <w:szCs w:val="23"/>
        </w:rPr>
        <w:t xml:space="preserve">“ představuje podpory malého rozsahu, u nichž se předpokládá, že nemají potenciál ovlivnit trh. Doporučujeme využít tento režim v případě, že se vyskytuje pochybnost, zda projekt zakládá či nezakládá veřejnou podporu. V režimu „de </w:t>
      </w:r>
      <w:proofErr w:type="spellStart"/>
      <w:r>
        <w:rPr>
          <w:sz w:val="23"/>
          <w:szCs w:val="23"/>
        </w:rPr>
        <w:t>minimis</w:t>
      </w:r>
      <w:proofErr w:type="spellEnd"/>
      <w:r>
        <w:rPr>
          <w:sz w:val="23"/>
          <w:szCs w:val="23"/>
        </w:rPr>
        <w:t xml:space="preserve">“ lze realizovat i neinvestiční výdaje a není nutné prokazovat motivační efekt. </w:t>
      </w:r>
    </w:p>
    <w:p w:rsidR="00CF5A11" w:rsidRDefault="00CF5A11" w:rsidP="00CF5A11">
      <w:pPr>
        <w:pStyle w:val="Default"/>
        <w:rPr>
          <w:sz w:val="23"/>
          <w:szCs w:val="23"/>
        </w:rPr>
      </w:pPr>
      <w:r>
        <w:rPr>
          <w:sz w:val="23"/>
          <w:szCs w:val="23"/>
        </w:rPr>
        <w:t xml:space="preserve">- Režim „de </w:t>
      </w:r>
      <w:proofErr w:type="spellStart"/>
      <w:r>
        <w:rPr>
          <w:sz w:val="23"/>
          <w:szCs w:val="23"/>
        </w:rPr>
        <w:t>minimis</w:t>
      </w:r>
      <w:proofErr w:type="spellEnd"/>
      <w:r>
        <w:rPr>
          <w:sz w:val="23"/>
          <w:szCs w:val="23"/>
        </w:rPr>
        <w:t xml:space="preserve">“ nelze využít na činnosti v odvětví prvovýroby zemědělských produktů. Zpracování a uvádění zemědělských produktů (tzn. produktů uvedených v příloze I Smlouvy o založení ES) lze podpořit pouze za podmínky, že: </w:t>
      </w:r>
    </w:p>
    <w:p w:rsidR="00CF5A11" w:rsidRDefault="00CF5A11" w:rsidP="00CF5A11">
      <w:pPr>
        <w:pStyle w:val="Default"/>
        <w:spacing w:after="27"/>
        <w:rPr>
          <w:sz w:val="23"/>
          <w:szCs w:val="23"/>
        </w:rPr>
      </w:pPr>
      <w:r>
        <w:rPr>
          <w:rFonts w:ascii="Courier New" w:hAnsi="Courier New" w:cs="Courier New"/>
          <w:sz w:val="23"/>
          <w:szCs w:val="23"/>
        </w:rPr>
        <w:t xml:space="preserve">o </w:t>
      </w:r>
      <w:r>
        <w:rPr>
          <w:sz w:val="23"/>
          <w:szCs w:val="23"/>
        </w:rPr>
        <w:t xml:space="preserve">výše podpory není stanovena na základě ceny nebo množství produktů zakoupených od primárních producentů nebo uvedených na trh danými podniky </w:t>
      </w:r>
    </w:p>
    <w:p w:rsidR="00BB7624" w:rsidRPr="00CF5A11" w:rsidRDefault="00CF5A11" w:rsidP="00CF5A11">
      <w:pPr>
        <w:pStyle w:val="Default"/>
        <w:rPr>
          <w:sz w:val="23"/>
          <w:szCs w:val="23"/>
        </w:rPr>
      </w:pPr>
      <w:r>
        <w:rPr>
          <w:rFonts w:ascii="Courier New" w:hAnsi="Courier New" w:cs="Courier New"/>
          <w:sz w:val="23"/>
          <w:szCs w:val="23"/>
        </w:rPr>
        <w:t xml:space="preserve">o </w:t>
      </w:r>
      <w:r>
        <w:rPr>
          <w:sz w:val="23"/>
          <w:szCs w:val="23"/>
        </w:rPr>
        <w:t xml:space="preserve">poskytnutí podpory není závislé na podmínce, že bude z části nebo zcela předána prvovýrobcům </w:t>
      </w:r>
    </w:p>
    <w:sectPr w:rsidR="00BB7624" w:rsidRPr="00CF5A11" w:rsidSect="00F9560C">
      <w:pgSz w:w="11906" w:h="17338"/>
      <w:pgMar w:top="1148" w:right="843" w:bottom="655" w:left="1038" w:header="708" w:footer="708" w:gutter="0"/>
      <w:cols w:space="708"/>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altName w:val="Times New Roman"/>
    <w:panose1 w:val="02020603050405020304"/>
    <w:charset w:val="EE"/>
    <w:family w:val="roman"/>
    <w:pitch w:val="variable"/>
    <w:sig w:usb0="20002A87" w:usb1="80000000" w:usb2="00000008" w:usb3="00000000" w:csb0="000001FF" w:csb1="00000000"/>
  </w:font>
  <w:font w:name="Courier New">
    <w:altName w:val="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F5A11"/>
    <w:rsid w:val="009931F7"/>
    <w:rsid w:val="00BB7624"/>
    <w:rsid w:val="00CF5A1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B7624"/>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F5A1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667</Words>
  <Characters>3941</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Company>MAS "Přiďte pobejt" o.s.</Company>
  <LinksUpToDate>false</LinksUpToDate>
  <CharactersWithSpaces>4599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Věra</dc:creator>
  <cp:keywords/>
  <dc:description/>
  <cp:lastModifiedBy>Věra</cp:lastModifiedBy>
  <cp:revision>2</cp:revision>
  <dcterms:created xsi:type="dcterms:W3CDTF">2012-04-10T09:13:00Z</dcterms:created>
  <dcterms:modified xsi:type="dcterms:W3CDTF">2012-04-10T09:24:00Z</dcterms:modified>
</cp:coreProperties>
</file>